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8A" w:rsidRDefault="004D57FE"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-297180</wp:posOffset>
            </wp:positionV>
            <wp:extent cx="1591310" cy="751205"/>
            <wp:effectExtent l="0" t="0" r="0" b="0"/>
            <wp:wrapSquare wrapText="bothSides"/>
            <wp:docPr id="2" name="Picture 2" descr="FACS_Logo_COL_NOTA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S_Logo_COL_NOTA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88A" w:rsidRPr="00E13CBE" w:rsidRDefault="0034688A" w:rsidP="00D61413">
      <w:pPr>
        <w:jc w:val="right"/>
        <w:rPr>
          <w:rFonts w:asciiTheme="minorHAnsi" w:hAnsiTheme="minorHAnsi"/>
          <w:b/>
          <w:bCs/>
        </w:rPr>
      </w:pPr>
      <w:r w:rsidRPr="00E13CBE">
        <w:rPr>
          <w:rFonts w:asciiTheme="minorHAnsi" w:hAnsiTheme="minorHAnsi"/>
          <w:b/>
          <w:bCs/>
        </w:rPr>
        <w:t>JOB POSTING #0</w:t>
      </w:r>
      <w:r w:rsidR="005848B3" w:rsidRPr="00E13CBE">
        <w:rPr>
          <w:rFonts w:asciiTheme="minorHAnsi" w:hAnsiTheme="minorHAnsi"/>
          <w:b/>
          <w:bCs/>
        </w:rPr>
        <w:t>19</w:t>
      </w:r>
      <w:r w:rsidRPr="00E13CBE">
        <w:rPr>
          <w:rFonts w:asciiTheme="minorHAnsi" w:hAnsiTheme="minorHAnsi"/>
          <w:b/>
          <w:bCs/>
        </w:rPr>
        <w:t>-</w:t>
      </w:r>
      <w:r w:rsidR="00D61413" w:rsidRPr="00E13CBE">
        <w:rPr>
          <w:rFonts w:asciiTheme="minorHAnsi" w:hAnsiTheme="minorHAnsi"/>
          <w:b/>
          <w:bCs/>
        </w:rPr>
        <w:t>2</w:t>
      </w:r>
      <w:r w:rsidRPr="00E13CBE">
        <w:rPr>
          <w:rFonts w:asciiTheme="minorHAnsi" w:hAnsiTheme="minorHAnsi"/>
          <w:b/>
          <w:bCs/>
        </w:rPr>
        <w:t>0</w:t>
      </w:r>
      <w:r w:rsidR="00D61413" w:rsidRPr="00E13CBE">
        <w:rPr>
          <w:rFonts w:asciiTheme="minorHAnsi" w:hAnsiTheme="minorHAnsi"/>
          <w:b/>
          <w:bCs/>
        </w:rPr>
        <w:t>1</w:t>
      </w:r>
      <w:r w:rsidRPr="00E13CBE">
        <w:rPr>
          <w:rFonts w:asciiTheme="minorHAnsi" w:hAnsiTheme="minorHAnsi"/>
          <w:b/>
          <w:bCs/>
        </w:rPr>
        <w:t>7</w:t>
      </w:r>
    </w:p>
    <w:p w:rsidR="0034688A" w:rsidRDefault="0034688A"/>
    <w:p w:rsidR="00D61413" w:rsidRDefault="00D61413">
      <w:pPr>
        <w:jc w:val="both"/>
      </w:pPr>
    </w:p>
    <w:p w:rsidR="00852226" w:rsidRDefault="00852226">
      <w:pPr>
        <w:jc w:val="both"/>
      </w:pPr>
    </w:p>
    <w:p w:rsidR="00C028F1" w:rsidRDefault="00C028F1" w:rsidP="00D6141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Family &amp; Children’s Services of Guelph and Wellington is a caring network of staff, volunteers, foster families and adopting families. Together, we are committed to protecting children and supporting families in our community. We are a charitable, non-profit agency that is legislated and primarily funded by the provincial Ministry of Children and Youth Services.</w:t>
      </w:r>
    </w:p>
    <w:p w:rsidR="00C028F1" w:rsidRDefault="00C028F1" w:rsidP="00D61413">
      <w:pPr>
        <w:jc w:val="both"/>
        <w:rPr>
          <w:rFonts w:ascii="Calibri" w:hAnsi="Calibri" w:cs="Arial"/>
          <w:sz w:val="22"/>
          <w:szCs w:val="22"/>
        </w:rPr>
      </w:pPr>
    </w:p>
    <w:p w:rsidR="00C028F1" w:rsidRPr="00E13CBE" w:rsidRDefault="00C028F1" w:rsidP="00C028F1">
      <w:pPr>
        <w:ind w:left="1800" w:hanging="1800"/>
        <w:rPr>
          <w:rFonts w:ascii="Calibri" w:hAnsi="Calibri"/>
          <w:b/>
        </w:rPr>
      </w:pPr>
      <w:r w:rsidRPr="00E13CBE">
        <w:rPr>
          <w:rFonts w:ascii="Calibri" w:hAnsi="Calibri"/>
          <w:b/>
          <w:bCs/>
        </w:rPr>
        <w:t>POSITION:</w:t>
      </w:r>
      <w:r w:rsidRPr="00E13CBE">
        <w:rPr>
          <w:rFonts w:ascii="Calibri" w:hAnsi="Calibri"/>
        </w:rPr>
        <w:tab/>
      </w:r>
      <w:r w:rsidRPr="00E13CBE">
        <w:rPr>
          <w:rFonts w:ascii="Calibri" w:hAnsi="Calibri"/>
        </w:rPr>
        <w:tab/>
      </w:r>
      <w:r w:rsidRPr="00E13CBE">
        <w:rPr>
          <w:rFonts w:ascii="Calibri" w:hAnsi="Calibri"/>
          <w:b/>
          <w:caps/>
        </w:rPr>
        <w:t>Director of Finance</w:t>
      </w:r>
    </w:p>
    <w:p w:rsidR="00C028F1" w:rsidRDefault="00C028F1" w:rsidP="00D61413">
      <w:pPr>
        <w:jc w:val="both"/>
        <w:rPr>
          <w:rFonts w:ascii="Calibri" w:hAnsi="Calibri" w:cs="Arial"/>
          <w:sz w:val="22"/>
          <w:szCs w:val="22"/>
        </w:rPr>
      </w:pPr>
    </w:p>
    <w:p w:rsidR="00D61413" w:rsidRDefault="00D61413" w:rsidP="00D61413">
      <w:pPr>
        <w:jc w:val="both"/>
        <w:rPr>
          <w:rFonts w:ascii="Calibri" w:hAnsi="Calibri" w:cs="Arial"/>
          <w:sz w:val="22"/>
          <w:szCs w:val="22"/>
        </w:rPr>
      </w:pPr>
      <w:r w:rsidRPr="00966C47">
        <w:rPr>
          <w:rFonts w:ascii="Calibri" w:hAnsi="Calibri" w:cs="Arial"/>
          <w:sz w:val="22"/>
          <w:szCs w:val="22"/>
        </w:rPr>
        <w:t>As a member of the Senior Management Team</w:t>
      </w:r>
      <w:r>
        <w:rPr>
          <w:rFonts w:ascii="Calibri" w:hAnsi="Calibri" w:cs="Arial"/>
          <w:sz w:val="22"/>
          <w:szCs w:val="22"/>
        </w:rPr>
        <w:t>,</w:t>
      </w:r>
      <w:r w:rsidRPr="00966C47">
        <w:rPr>
          <w:rFonts w:ascii="Calibri" w:hAnsi="Calibri" w:cs="Arial"/>
          <w:sz w:val="22"/>
          <w:szCs w:val="22"/>
        </w:rPr>
        <w:t xml:space="preserve"> </w:t>
      </w:r>
      <w:r w:rsidR="00AA7310">
        <w:rPr>
          <w:rFonts w:ascii="Calibri" w:hAnsi="Calibri" w:cs="Arial"/>
          <w:sz w:val="22"/>
          <w:szCs w:val="22"/>
        </w:rPr>
        <w:t xml:space="preserve">reporting to the Executive Director, </w:t>
      </w:r>
      <w:r w:rsidRPr="00966C47">
        <w:rPr>
          <w:rFonts w:ascii="Calibri" w:hAnsi="Calibri" w:cs="Arial"/>
          <w:sz w:val="22"/>
          <w:szCs w:val="22"/>
        </w:rPr>
        <w:t xml:space="preserve">the Director </w:t>
      </w:r>
      <w:r>
        <w:rPr>
          <w:rFonts w:ascii="Calibri" w:hAnsi="Calibri" w:cs="Arial"/>
          <w:sz w:val="22"/>
          <w:szCs w:val="22"/>
        </w:rPr>
        <w:t xml:space="preserve">of </w:t>
      </w:r>
      <w:r w:rsidR="00C028F1">
        <w:rPr>
          <w:rFonts w:ascii="Calibri" w:hAnsi="Calibri" w:cs="Arial"/>
          <w:sz w:val="22"/>
          <w:szCs w:val="22"/>
        </w:rPr>
        <w:t>Finance</w:t>
      </w:r>
      <w:r w:rsidRPr="00966C47">
        <w:rPr>
          <w:rFonts w:ascii="Calibri" w:hAnsi="Calibri" w:cs="Arial"/>
          <w:sz w:val="22"/>
          <w:szCs w:val="22"/>
        </w:rPr>
        <w:t xml:space="preserve"> is responsible for the overall operations </w:t>
      </w:r>
      <w:r w:rsidR="00AA7310">
        <w:rPr>
          <w:rFonts w:ascii="Calibri" w:hAnsi="Calibri" w:cs="Arial"/>
          <w:sz w:val="22"/>
          <w:szCs w:val="22"/>
        </w:rPr>
        <w:t>of the Finance Department and its associated programs and functions in support of Agency goals, objectives and strategy.</w:t>
      </w:r>
    </w:p>
    <w:p w:rsidR="005E62DA" w:rsidRDefault="005E62DA" w:rsidP="00D61413">
      <w:pPr>
        <w:jc w:val="both"/>
        <w:rPr>
          <w:rFonts w:ascii="Calibri" w:hAnsi="Calibri" w:cs="Arial"/>
          <w:sz w:val="22"/>
          <w:szCs w:val="22"/>
        </w:rPr>
      </w:pPr>
    </w:p>
    <w:p w:rsidR="00AA7310" w:rsidRDefault="00AA7310" w:rsidP="00D6141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 an integral part of the Senior Leadership Team, the Director of Finance must be passionate, committed </w:t>
      </w:r>
      <w:r w:rsidR="00E13CBE">
        <w:rPr>
          <w:rFonts w:ascii="Calibri" w:hAnsi="Calibri" w:cs="Arial"/>
          <w:sz w:val="22"/>
          <w:szCs w:val="22"/>
        </w:rPr>
        <w:t>and confident</w:t>
      </w:r>
      <w:r>
        <w:rPr>
          <w:rFonts w:ascii="Calibri" w:hAnsi="Calibri" w:cs="Arial"/>
          <w:sz w:val="22"/>
          <w:szCs w:val="22"/>
        </w:rPr>
        <w:t>, possess exceptional communication skills and support a culture of learning and positivity.</w:t>
      </w:r>
    </w:p>
    <w:p w:rsidR="005E62DA" w:rsidRDefault="005E62DA">
      <w:pPr>
        <w:jc w:val="both"/>
      </w:pPr>
    </w:p>
    <w:p w:rsidR="00AA7310" w:rsidRDefault="00AA7310" w:rsidP="00D61413">
      <w:pPr>
        <w:rPr>
          <w:rFonts w:ascii="Calibri" w:hAnsi="Calibri"/>
          <w:b/>
          <w:bCs/>
          <w:sz w:val="22"/>
          <w:szCs w:val="22"/>
        </w:rPr>
        <w:sectPr w:rsidR="00AA7310" w:rsidSect="00C705CD">
          <w:pgSz w:w="12240" w:h="15840"/>
          <w:pgMar w:top="990" w:right="1800" w:bottom="1260" w:left="1800" w:header="720" w:footer="720" w:gutter="0"/>
          <w:cols w:space="720"/>
          <w:docGrid w:linePitch="360"/>
        </w:sectPr>
      </w:pPr>
    </w:p>
    <w:p w:rsidR="00D61413" w:rsidRPr="00966C47" w:rsidRDefault="00D61413" w:rsidP="00D61413">
      <w:pPr>
        <w:rPr>
          <w:rFonts w:ascii="Calibri" w:hAnsi="Calibri"/>
          <w:b/>
          <w:bCs/>
          <w:sz w:val="22"/>
          <w:szCs w:val="22"/>
        </w:rPr>
      </w:pPr>
      <w:r w:rsidRPr="00966C47">
        <w:rPr>
          <w:rFonts w:ascii="Calibri" w:hAnsi="Calibri"/>
          <w:b/>
          <w:bCs/>
          <w:sz w:val="22"/>
          <w:szCs w:val="22"/>
        </w:rPr>
        <w:t>RESPONSIBILITIES:</w:t>
      </w:r>
    </w:p>
    <w:p w:rsidR="005E62DA" w:rsidRDefault="005E62DA" w:rsidP="00D61413">
      <w:pPr>
        <w:numPr>
          <w:ilvl w:val="0"/>
          <w:numId w:val="4"/>
        </w:numPr>
        <w:rPr>
          <w:rFonts w:ascii="Calibri" w:hAnsi="Calibri"/>
          <w:sz w:val="22"/>
          <w:szCs w:val="22"/>
        </w:rPr>
        <w:sectPr w:rsidR="005E62DA" w:rsidSect="00AA731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F0F6D" w:rsidRDefault="00AA7310" w:rsidP="00D6141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Financial Accounting</w:t>
      </w:r>
      <w:r w:rsidR="004F0F6D">
        <w:rPr>
          <w:rFonts w:ascii="Calibri" w:hAnsi="Calibri"/>
          <w:sz w:val="22"/>
          <w:szCs w:val="22"/>
        </w:rPr>
        <w:t xml:space="preserve"> and Internal Controls</w:t>
      </w:r>
    </w:p>
    <w:p w:rsidR="00AA7310" w:rsidRDefault="004F0F6D" w:rsidP="00D6141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External</w:t>
      </w:r>
      <w:r w:rsidR="00A30892">
        <w:rPr>
          <w:rFonts w:ascii="Calibri" w:hAnsi="Calibri"/>
          <w:sz w:val="22"/>
          <w:szCs w:val="22"/>
        </w:rPr>
        <w:t xml:space="preserve"> </w:t>
      </w:r>
      <w:r w:rsidR="00AA7310">
        <w:rPr>
          <w:rFonts w:ascii="Calibri" w:hAnsi="Calibri"/>
          <w:sz w:val="22"/>
          <w:szCs w:val="22"/>
        </w:rPr>
        <w:t>Reporting</w:t>
      </w:r>
      <w:r>
        <w:rPr>
          <w:rFonts w:ascii="Calibri" w:hAnsi="Calibri"/>
          <w:sz w:val="22"/>
          <w:szCs w:val="22"/>
        </w:rPr>
        <w:t xml:space="preserve"> to Funders and other Government Agencies</w:t>
      </w:r>
    </w:p>
    <w:p w:rsidR="004F0F6D" w:rsidRDefault="004F0F6D" w:rsidP="00AA731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Cash Flow Management</w:t>
      </w:r>
    </w:p>
    <w:p w:rsidR="00AA7310" w:rsidRDefault="00AA7310" w:rsidP="00AA731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Preparation of annual audits and liaise with external auditors, as needed</w:t>
      </w:r>
    </w:p>
    <w:p w:rsidR="00AA7310" w:rsidRDefault="00AA7310" w:rsidP="00AA731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and deliver budgets, financial forecasting reports to Senior Management Team and Boards</w:t>
      </w:r>
    </w:p>
    <w:p w:rsidR="00AA7310" w:rsidRDefault="00AA7310" w:rsidP="00AA731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Build relationships, both internally and externally</w:t>
      </w:r>
    </w:p>
    <w:p w:rsidR="00AA7310" w:rsidRDefault="00AA7310" w:rsidP="00AA731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Foster teamwork and collaboration to resolve problems and make decisions that support the strategic direction and vision/mission of the organization</w:t>
      </w:r>
    </w:p>
    <w:p w:rsidR="004F0F6D" w:rsidRDefault="004F0F6D" w:rsidP="00AA731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Insurance </w:t>
      </w:r>
      <w:r w:rsidR="00C45A2D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overage and Risk Management</w:t>
      </w:r>
    </w:p>
    <w:p w:rsidR="00D446EE" w:rsidRPr="00AA7310" w:rsidRDefault="00D446EE" w:rsidP="00AA731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Oversee and direct other functions as required</w:t>
      </w:r>
      <w:bookmarkStart w:id="0" w:name="_GoBack"/>
      <w:bookmarkEnd w:id="0"/>
    </w:p>
    <w:p w:rsidR="00D61413" w:rsidRDefault="00D61413">
      <w:pPr>
        <w:jc w:val="both"/>
      </w:pPr>
    </w:p>
    <w:p w:rsidR="00AA7310" w:rsidRDefault="00AA7310" w:rsidP="00D61413">
      <w:pPr>
        <w:rPr>
          <w:rFonts w:ascii="Calibri" w:hAnsi="Calibri"/>
          <w:b/>
          <w:bCs/>
          <w:sz w:val="22"/>
          <w:szCs w:val="22"/>
        </w:rPr>
        <w:sectPr w:rsidR="00AA7310" w:rsidSect="00AA731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61413" w:rsidRPr="00966C47" w:rsidRDefault="00D61413" w:rsidP="00D61413">
      <w:pPr>
        <w:rPr>
          <w:rFonts w:ascii="Calibri" w:hAnsi="Calibri"/>
          <w:b/>
          <w:bCs/>
          <w:sz w:val="22"/>
          <w:szCs w:val="22"/>
        </w:rPr>
      </w:pPr>
      <w:r w:rsidRPr="00966C47">
        <w:rPr>
          <w:rFonts w:ascii="Calibri" w:hAnsi="Calibri"/>
          <w:b/>
          <w:bCs/>
          <w:sz w:val="22"/>
          <w:szCs w:val="22"/>
        </w:rPr>
        <w:lastRenderedPageBreak/>
        <w:t>QUALIFICATIONS/SKILLS:</w:t>
      </w:r>
    </w:p>
    <w:p w:rsidR="00D446EE" w:rsidRPr="00D446EE" w:rsidRDefault="00AA7310" w:rsidP="00D446EE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CPA</w:t>
      </w:r>
      <w:r w:rsidR="00EE21A9">
        <w:rPr>
          <w:rFonts w:ascii="Calibri" w:hAnsi="Calibri"/>
          <w:sz w:val="22"/>
          <w:szCs w:val="22"/>
        </w:rPr>
        <w:t xml:space="preserve"> designation</w:t>
      </w:r>
    </w:p>
    <w:p w:rsidR="0044303F" w:rsidRDefault="004F0F6D" w:rsidP="0070664D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B35C79">
        <w:rPr>
          <w:rFonts w:ascii="Calibri" w:hAnsi="Calibri"/>
          <w:sz w:val="22"/>
          <w:szCs w:val="22"/>
        </w:rPr>
        <w:t>Knowledge of Generally Accepted Accounting Principles</w:t>
      </w:r>
    </w:p>
    <w:p w:rsidR="00B35C79" w:rsidRPr="00B35C79" w:rsidRDefault="00B35C79" w:rsidP="0070664D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Minimum 5 years Finance experience</w:t>
      </w:r>
    </w:p>
    <w:p w:rsidR="00D61413" w:rsidRPr="00BC7E79" w:rsidRDefault="00D61413" w:rsidP="00D61413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966C47">
        <w:rPr>
          <w:rFonts w:ascii="Calibri" w:hAnsi="Calibri" w:cs="Arial"/>
          <w:sz w:val="22"/>
          <w:szCs w:val="22"/>
        </w:rPr>
        <w:t>P</w:t>
      </w:r>
      <w:r w:rsidR="00AA7310">
        <w:rPr>
          <w:rFonts w:ascii="Calibri" w:hAnsi="Calibri" w:cs="Arial"/>
          <w:sz w:val="22"/>
          <w:szCs w:val="22"/>
        </w:rPr>
        <w:t>r</w:t>
      </w:r>
      <w:r w:rsidRPr="00966C47">
        <w:rPr>
          <w:rFonts w:ascii="Calibri" w:hAnsi="Calibri" w:cs="Arial"/>
          <w:sz w:val="22"/>
          <w:szCs w:val="22"/>
        </w:rPr>
        <w:t>ove</w:t>
      </w:r>
      <w:r w:rsidR="00AA7310">
        <w:rPr>
          <w:rFonts w:ascii="Calibri" w:hAnsi="Calibri" w:cs="Arial"/>
          <w:sz w:val="22"/>
          <w:szCs w:val="22"/>
        </w:rPr>
        <w:t>n experience in financial and strategic planning, forecasting, budgeting and risk management</w:t>
      </w:r>
    </w:p>
    <w:p w:rsidR="00BC7E79" w:rsidRPr="00966C47" w:rsidRDefault="00BC7E79" w:rsidP="00D61413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Proven experience</w:t>
      </w:r>
      <w:r w:rsidR="00CD4636">
        <w:rPr>
          <w:rFonts w:ascii="Calibri" w:hAnsi="Calibri" w:cs="Arial"/>
          <w:sz w:val="22"/>
          <w:szCs w:val="22"/>
        </w:rPr>
        <w:t xml:space="preserve"> in leadership, </w:t>
      </w:r>
      <w:r w:rsidR="004F72C0">
        <w:rPr>
          <w:rFonts w:ascii="Calibri" w:hAnsi="Calibri" w:cs="Arial"/>
          <w:sz w:val="22"/>
          <w:szCs w:val="22"/>
        </w:rPr>
        <w:t xml:space="preserve">ability to apply critical thinking and develop creative </w:t>
      </w:r>
      <w:r w:rsidR="00CD4636">
        <w:rPr>
          <w:rFonts w:ascii="Calibri" w:hAnsi="Calibri" w:cs="Arial"/>
          <w:sz w:val="22"/>
          <w:szCs w:val="22"/>
        </w:rPr>
        <w:t>solutions</w:t>
      </w:r>
      <w:r w:rsidR="004F72C0">
        <w:rPr>
          <w:rFonts w:ascii="Calibri" w:hAnsi="Calibri" w:cs="Arial"/>
          <w:sz w:val="22"/>
          <w:szCs w:val="22"/>
        </w:rPr>
        <w:t xml:space="preserve"> to support strategic approaches</w:t>
      </w:r>
      <w:r w:rsidR="00CD4636">
        <w:rPr>
          <w:rFonts w:ascii="Calibri" w:hAnsi="Calibri" w:cs="Arial"/>
          <w:sz w:val="22"/>
          <w:szCs w:val="22"/>
        </w:rPr>
        <w:t xml:space="preserve"> and </w:t>
      </w:r>
      <w:r w:rsidR="004F72C0">
        <w:rPr>
          <w:rFonts w:ascii="Calibri" w:hAnsi="Calibri" w:cs="Arial"/>
          <w:sz w:val="22"/>
          <w:szCs w:val="22"/>
        </w:rPr>
        <w:t xml:space="preserve">organizational </w:t>
      </w:r>
      <w:r w:rsidR="00CD4636">
        <w:rPr>
          <w:rFonts w:ascii="Calibri" w:hAnsi="Calibri" w:cs="Arial"/>
          <w:sz w:val="22"/>
          <w:szCs w:val="22"/>
        </w:rPr>
        <w:t>outcomes</w:t>
      </w:r>
    </w:p>
    <w:p w:rsidR="00D61413" w:rsidRPr="00AA7310" w:rsidRDefault="00EE21A9" w:rsidP="00D61413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Project Planning</w:t>
      </w:r>
    </w:p>
    <w:p w:rsidR="00AA7310" w:rsidRPr="00AA7310" w:rsidRDefault="00AA7310" w:rsidP="00D61413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Profic</w:t>
      </w:r>
      <w:r w:rsidR="00EE21A9">
        <w:rPr>
          <w:rFonts w:ascii="Calibri" w:hAnsi="Calibri" w:cs="Arial"/>
          <w:sz w:val="22"/>
          <w:szCs w:val="22"/>
        </w:rPr>
        <w:t>ient</w:t>
      </w:r>
      <w:r>
        <w:rPr>
          <w:rFonts w:ascii="Calibri" w:hAnsi="Calibri" w:cs="Arial"/>
          <w:sz w:val="22"/>
          <w:szCs w:val="22"/>
        </w:rPr>
        <w:t xml:space="preserve"> in Excel and other </w:t>
      </w:r>
      <w:r w:rsidR="00EE21A9">
        <w:rPr>
          <w:rFonts w:ascii="Calibri" w:hAnsi="Calibri" w:cs="Arial"/>
          <w:sz w:val="22"/>
          <w:szCs w:val="22"/>
        </w:rPr>
        <w:t>Microsoft programs/applications</w:t>
      </w:r>
    </w:p>
    <w:p w:rsidR="00AA7310" w:rsidRPr="00AA7310" w:rsidRDefault="00AA7310" w:rsidP="00D61413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Proven ability to </w:t>
      </w:r>
      <w:r w:rsidR="00EE21A9">
        <w:rPr>
          <w:rFonts w:ascii="Calibri" w:hAnsi="Calibri" w:cs="Arial"/>
          <w:sz w:val="22"/>
          <w:szCs w:val="22"/>
        </w:rPr>
        <w:t>develop, engage and lead a team</w:t>
      </w:r>
    </w:p>
    <w:p w:rsidR="00EE21A9" w:rsidRPr="00C45A2D" w:rsidRDefault="00AA7310" w:rsidP="00EE21A9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Ability to present to groups, i</w:t>
      </w:r>
      <w:r w:rsidR="00EE21A9">
        <w:rPr>
          <w:rFonts w:ascii="Calibri" w:hAnsi="Calibri" w:cs="Arial"/>
          <w:sz w:val="22"/>
          <w:szCs w:val="22"/>
        </w:rPr>
        <w:t>ncluding the Board of Directors</w:t>
      </w:r>
    </w:p>
    <w:p w:rsidR="00C45A2D" w:rsidRPr="00AA7310" w:rsidRDefault="00C45A2D" w:rsidP="00C45A2D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Previous child welfare, government or not-for-profit experience would be an asset</w:t>
      </w:r>
    </w:p>
    <w:p w:rsidR="00A30892" w:rsidRDefault="00A30892" w:rsidP="00A30892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Working knowledge of COGNOS and ORACLE would be an asset</w:t>
      </w:r>
    </w:p>
    <w:p w:rsidR="00AA7310" w:rsidRPr="00F233BB" w:rsidRDefault="00AA7310" w:rsidP="00D61413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Experience overseeing Administration, IT and QA would be</w:t>
      </w:r>
      <w:r w:rsidR="00EE21A9">
        <w:rPr>
          <w:rFonts w:ascii="Calibri" w:hAnsi="Calibri" w:cs="Arial"/>
          <w:sz w:val="22"/>
          <w:szCs w:val="22"/>
        </w:rPr>
        <w:t xml:space="preserve"> an asset</w:t>
      </w:r>
    </w:p>
    <w:p w:rsidR="00F233BB" w:rsidRPr="0044303F" w:rsidRDefault="0044303F" w:rsidP="006E16B4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44303F">
        <w:rPr>
          <w:rFonts w:ascii="Calibri" w:hAnsi="Calibri"/>
          <w:sz w:val="22"/>
          <w:szCs w:val="22"/>
        </w:rPr>
        <w:lastRenderedPageBreak/>
        <w:t>Experience in/exposure to property management and insurance risk analysis would be an asset</w:t>
      </w:r>
    </w:p>
    <w:p w:rsidR="00D61413" w:rsidRPr="00743F1C" w:rsidRDefault="00D61413">
      <w:pPr>
        <w:jc w:val="both"/>
        <w:rPr>
          <w:rFonts w:ascii="Calibri" w:hAnsi="Calibri"/>
          <w:sz w:val="22"/>
          <w:szCs w:val="22"/>
        </w:rPr>
      </w:pPr>
    </w:p>
    <w:p w:rsidR="00D61413" w:rsidRDefault="00D61413">
      <w:pPr>
        <w:jc w:val="both"/>
        <w:rPr>
          <w:rFonts w:ascii="Calibri" w:hAnsi="Calibri"/>
          <w:sz w:val="22"/>
          <w:szCs w:val="22"/>
        </w:rPr>
      </w:pPr>
      <w:r w:rsidRPr="00743F1C">
        <w:rPr>
          <w:rFonts w:ascii="Calibri" w:hAnsi="Calibri"/>
          <w:b/>
          <w:sz w:val="22"/>
          <w:szCs w:val="22"/>
        </w:rPr>
        <w:t>LOCATION:</w:t>
      </w:r>
      <w:r w:rsidRPr="00743F1C">
        <w:rPr>
          <w:rFonts w:ascii="Calibri" w:hAnsi="Calibri"/>
          <w:sz w:val="22"/>
          <w:szCs w:val="22"/>
        </w:rPr>
        <w:tab/>
      </w:r>
      <w:r w:rsidR="00852226" w:rsidRPr="00743F1C">
        <w:rPr>
          <w:rFonts w:ascii="Calibri" w:hAnsi="Calibri"/>
          <w:sz w:val="22"/>
          <w:szCs w:val="22"/>
        </w:rPr>
        <w:tab/>
      </w:r>
      <w:r w:rsidRPr="00743F1C">
        <w:rPr>
          <w:rFonts w:ascii="Calibri" w:hAnsi="Calibri"/>
          <w:sz w:val="22"/>
          <w:szCs w:val="22"/>
        </w:rPr>
        <w:t>275 Eramosa Road, Guelph</w:t>
      </w:r>
    </w:p>
    <w:p w:rsidR="004F0F6D" w:rsidRPr="00743F1C" w:rsidRDefault="004F0F6D">
      <w:pPr>
        <w:jc w:val="both"/>
        <w:rPr>
          <w:rFonts w:ascii="Calibri" w:hAnsi="Calibri"/>
          <w:sz w:val="22"/>
          <w:szCs w:val="22"/>
        </w:rPr>
      </w:pPr>
    </w:p>
    <w:p w:rsidR="00EE21A9" w:rsidRPr="00204189" w:rsidRDefault="00EE21A9" w:rsidP="00EE21A9">
      <w:pPr>
        <w:jc w:val="both"/>
        <w:rPr>
          <w:b/>
          <w:bCs/>
          <w:sz w:val="22"/>
          <w:szCs w:val="22"/>
        </w:rPr>
      </w:pPr>
      <w:r w:rsidRPr="00204189">
        <w:rPr>
          <w:color w:val="000000"/>
          <w:sz w:val="22"/>
          <w:szCs w:val="22"/>
        </w:rPr>
        <w:t xml:space="preserve">Family and Children's Services is committed to anti-oppressive values of equity, inclusion and respect.  We value a diverse workforce and encourage applications from people of all races, </w:t>
      </w:r>
      <w:r w:rsidRPr="00204189">
        <w:rPr>
          <w:color w:val="000000"/>
          <w:sz w:val="22"/>
          <w:szCs w:val="22"/>
          <w:lang w:val="en-CA"/>
        </w:rPr>
        <w:t>colours</w:t>
      </w:r>
      <w:r w:rsidRPr="00204189">
        <w:rPr>
          <w:color w:val="000000"/>
          <w:sz w:val="22"/>
          <w:szCs w:val="22"/>
        </w:rPr>
        <w:t xml:space="preserve">, ethnic origins, religions, abilities and sexual orientations. </w:t>
      </w:r>
      <w:r>
        <w:rPr>
          <w:color w:val="000000"/>
          <w:sz w:val="22"/>
          <w:szCs w:val="22"/>
        </w:rPr>
        <w:t>We are committed to creating an accessible environment for all. Please let us know if you have any accommodation needs.</w:t>
      </w:r>
      <w:r w:rsidRPr="00204189">
        <w:rPr>
          <w:color w:val="000000"/>
          <w:sz w:val="22"/>
          <w:szCs w:val="22"/>
        </w:rPr>
        <w:t xml:space="preserve"> We thank all applicants; however only those considered for interviews will be contacted.</w:t>
      </w:r>
    </w:p>
    <w:p w:rsidR="00EE21A9" w:rsidRDefault="00EE21A9" w:rsidP="00EE21A9">
      <w:pPr>
        <w:jc w:val="both"/>
        <w:rPr>
          <w:b/>
          <w:bCs/>
        </w:rPr>
      </w:pPr>
    </w:p>
    <w:p w:rsidR="00EE21A9" w:rsidRDefault="00EE21A9" w:rsidP="00EE21A9">
      <w:pPr>
        <w:jc w:val="both"/>
        <w:rPr>
          <w:b/>
          <w:bCs/>
        </w:rPr>
      </w:pPr>
      <w:r>
        <w:t>Qualified individuals are invited to send their resume to:</w:t>
      </w:r>
    </w:p>
    <w:p w:rsidR="00EE21A9" w:rsidRPr="00442E59" w:rsidRDefault="00EE21A9" w:rsidP="00EE21A9">
      <w:pPr>
        <w:pStyle w:val="Heading3"/>
        <w:rPr>
          <w:sz w:val="22"/>
          <w:szCs w:val="22"/>
        </w:rPr>
      </w:pPr>
      <w:r>
        <w:tab/>
      </w:r>
      <w:r>
        <w:tab/>
      </w:r>
      <w:r w:rsidRPr="00442E59">
        <w:rPr>
          <w:sz w:val="22"/>
          <w:szCs w:val="22"/>
        </w:rPr>
        <w:t>Human Resources</w:t>
      </w:r>
    </w:p>
    <w:p w:rsidR="00EE21A9" w:rsidRPr="00442E59" w:rsidRDefault="00EE21A9" w:rsidP="00EE21A9">
      <w:pPr>
        <w:pStyle w:val="Heading3"/>
        <w:ind w:left="720" w:firstLine="720"/>
        <w:rPr>
          <w:sz w:val="22"/>
          <w:szCs w:val="22"/>
        </w:rPr>
      </w:pPr>
      <w:r w:rsidRPr="00442E59">
        <w:rPr>
          <w:sz w:val="22"/>
          <w:szCs w:val="22"/>
        </w:rPr>
        <w:t>Family &amp; Children’s Services</w:t>
      </w:r>
    </w:p>
    <w:p w:rsidR="00EE21A9" w:rsidRPr="00442E59" w:rsidRDefault="00EE21A9" w:rsidP="00EE21A9">
      <w:pPr>
        <w:jc w:val="both"/>
        <w:rPr>
          <w:sz w:val="22"/>
          <w:szCs w:val="22"/>
        </w:rPr>
      </w:pPr>
      <w:r w:rsidRPr="00442E59">
        <w:rPr>
          <w:sz w:val="22"/>
          <w:szCs w:val="22"/>
        </w:rPr>
        <w:tab/>
      </w:r>
      <w:r w:rsidRPr="00442E59">
        <w:rPr>
          <w:sz w:val="22"/>
          <w:szCs w:val="22"/>
        </w:rPr>
        <w:tab/>
        <w:t>P.O. Box 1088</w:t>
      </w:r>
    </w:p>
    <w:p w:rsidR="00EE21A9" w:rsidRPr="00442E59" w:rsidRDefault="00EE21A9" w:rsidP="00EE21A9">
      <w:pPr>
        <w:jc w:val="both"/>
        <w:rPr>
          <w:sz w:val="22"/>
          <w:szCs w:val="22"/>
        </w:rPr>
      </w:pPr>
      <w:r w:rsidRPr="00442E59">
        <w:rPr>
          <w:sz w:val="22"/>
          <w:szCs w:val="22"/>
        </w:rPr>
        <w:tab/>
      </w:r>
      <w:r w:rsidRPr="00442E59">
        <w:rPr>
          <w:sz w:val="22"/>
          <w:szCs w:val="22"/>
        </w:rPr>
        <w:tab/>
        <w:t>Guelph, Ontario</w:t>
      </w:r>
    </w:p>
    <w:p w:rsidR="00EE21A9" w:rsidRPr="00442E59" w:rsidRDefault="00EE21A9" w:rsidP="00EE21A9">
      <w:pPr>
        <w:pStyle w:val="Heading3"/>
        <w:rPr>
          <w:sz w:val="22"/>
          <w:szCs w:val="22"/>
        </w:rPr>
      </w:pPr>
      <w:r w:rsidRPr="00442E59">
        <w:rPr>
          <w:sz w:val="22"/>
          <w:szCs w:val="22"/>
        </w:rPr>
        <w:tab/>
      </w:r>
      <w:r w:rsidRPr="00442E59">
        <w:rPr>
          <w:sz w:val="22"/>
          <w:szCs w:val="22"/>
        </w:rPr>
        <w:tab/>
        <w:t>N1H 6N3</w:t>
      </w:r>
    </w:p>
    <w:p w:rsidR="00EE21A9" w:rsidRPr="00442E59" w:rsidRDefault="00EE21A9" w:rsidP="00EE21A9">
      <w:pPr>
        <w:pStyle w:val="Heading3"/>
        <w:rPr>
          <w:sz w:val="22"/>
          <w:szCs w:val="22"/>
        </w:rPr>
      </w:pPr>
      <w:r w:rsidRPr="00442E59">
        <w:rPr>
          <w:sz w:val="22"/>
          <w:szCs w:val="22"/>
        </w:rPr>
        <w:tab/>
      </w:r>
      <w:r w:rsidRPr="00442E59">
        <w:rPr>
          <w:sz w:val="22"/>
          <w:szCs w:val="22"/>
        </w:rPr>
        <w:tab/>
        <w:t xml:space="preserve">Fax (519) </w:t>
      </w:r>
      <w:r>
        <w:rPr>
          <w:sz w:val="22"/>
          <w:szCs w:val="22"/>
        </w:rPr>
        <w:t>836-6714</w:t>
      </w:r>
    </w:p>
    <w:p w:rsidR="00EE21A9" w:rsidRPr="00442E59" w:rsidRDefault="00EE21A9" w:rsidP="00EE21A9">
      <w:pPr>
        <w:jc w:val="both"/>
        <w:rPr>
          <w:sz w:val="22"/>
          <w:szCs w:val="22"/>
        </w:rPr>
      </w:pPr>
      <w:r w:rsidRPr="00442E59">
        <w:rPr>
          <w:sz w:val="22"/>
          <w:szCs w:val="22"/>
        </w:rPr>
        <w:tab/>
      </w:r>
      <w:r w:rsidRPr="00442E59">
        <w:rPr>
          <w:sz w:val="22"/>
          <w:szCs w:val="22"/>
        </w:rPr>
        <w:tab/>
        <w:t>employment@fcsgw.org</w:t>
      </w:r>
    </w:p>
    <w:p w:rsidR="00EE21A9" w:rsidRDefault="00EE21A9" w:rsidP="00EE21A9">
      <w:pPr>
        <w:pStyle w:val="Heading5"/>
        <w:rPr>
          <w:b/>
          <w:bCs/>
        </w:rPr>
      </w:pPr>
    </w:p>
    <w:p w:rsidR="00EE21A9" w:rsidRPr="002619C8" w:rsidRDefault="00EE21A9" w:rsidP="00EE21A9"/>
    <w:p w:rsidR="00EE21A9" w:rsidRDefault="00EE21A9" w:rsidP="00EE21A9">
      <w:pPr>
        <w:pStyle w:val="Heading5"/>
      </w:pPr>
      <w:r>
        <w:rPr>
          <w:b/>
          <w:bCs/>
        </w:rPr>
        <w:t>Posting Date</w:t>
      </w:r>
      <w:r>
        <w:t>:</w:t>
      </w:r>
      <w:r>
        <w:tab/>
        <w:t>November 2</w:t>
      </w:r>
      <w:r w:rsidR="00E13CBE">
        <w:t>8</w:t>
      </w:r>
      <w:r>
        <w:t>, 2017</w:t>
      </w:r>
    </w:p>
    <w:p w:rsidR="00D61413" w:rsidRPr="00743F1C" w:rsidRDefault="00D61413">
      <w:pPr>
        <w:jc w:val="both"/>
        <w:rPr>
          <w:rFonts w:ascii="Calibri" w:hAnsi="Calibri"/>
          <w:sz w:val="22"/>
          <w:szCs w:val="22"/>
        </w:rPr>
      </w:pPr>
    </w:p>
    <w:sectPr w:rsidR="00D61413" w:rsidRPr="00743F1C" w:rsidSect="005E62D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9D8"/>
    <w:multiLevelType w:val="hybridMultilevel"/>
    <w:tmpl w:val="4E78E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55790"/>
    <w:multiLevelType w:val="hybridMultilevel"/>
    <w:tmpl w:val="CB1C8A90"/>
    <w:lvl w:ilvl="0" w:tplc="37460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A27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A0F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560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CA5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785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CAD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0AD1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D2D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42E21"/>
    <w:multiLevelType w:val="hybridMultilevel"/>
    <w:tmpl w:val="B350AF54"/>
    <w:lvl w:ilvl="0" w:tplc="B32E59EA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C0EC99D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90689"/>
    <w:multiLevelType w:val="hybridMultilevel"/>
    <w:tmpl w:val="F8B86E10"/>
    <w:lvl w:ilvl="0" w:tplc="CA549D2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3834B6"/>
    <w:multiLevelType w:val="hybridMultilevel"/>
    <w:tmpl w:val="C54ED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40"/>
    <w:rsid w:val="000568F0"/>
    <w:rsid w:val="002E4253"/>
    <w:rsid w:val="0034688A"/>
    <w:rsid w:val="0044303F"/>
    <w:rsid w:val="00447464"/>
    <w:rsid w:val="004D57FE"/>
    <w:rsid w:val="004F0F6D"/>
    <w:rsid w:val="004F72C0"/>
    <w:rsid w:val="005848B3"/>
    <w:rsid w:val="005E5A27"/>
    <w:rsid w:val="005E62DA"/>
    <w:rsid w:val="006141D1"/>
    <w:rsid w:val="00725F21"/>
    <w:rsid w:val="00743F1C"/>
    <w:rsid w:val="00805E40"/>
    <w:rsid w:val="008362F6"/>
    <w:rsid w:val="008472A4"/>
    <w:rsid w:val="00852226"/>
    <w:rsid w:val="00A30892"/>
    <w:rsid w:val="00AA7310"/>
    <w:rsid w:val="00AF3681"/>
    <w:rsid w:val="00B35C79"/>
    <w:rsid w:val="00BC7E79"/>
    <w:rsid w:val="00C028F1"/>
    <w:rsid w:val="00C45A2D"/>
    <w:rsid w:val="00C705CD"/>
    <w:rsid w:val="00CD4636"/>
    <w:rsid w:val="00CE591A"/>
    <w:rsid w:val="00D446EE"/>
    <w:rsid w:val="00D61413"/>
    <w:rsid w:val="00D83184"/>
    <w:rsid w:val="00DA13FC"/>
    <w:rsid w:val="00E13CBE"/>
    <w:rsid w:val="00E258D1"/>
    <w:rsid w:val="00EE21A9"/>
    <w:rsid w:val="00F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DB55A-CBF7-CA41-88CB-D3BB5F1A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E21A9"/>
    <w:pPr>
      <w:keepNext/>
      <w:widowControl w:val="0"/>
      <w:autoSpaceDE w:val="0"/>
      <w:autoSpaceDN w:val="0"/>
      <w:adjustRightInd w:val="0"/>
      <w:jc w:val="both"/>
      <w:outlineLvl w:val="2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EE21A9"/>
    <w:pPr>
      <w:keepNext/>
      <w:widowControl w:val="0"/>
      <w:autoSpaceDE w:val="0"/>
      <w:autoSpaceDN w:val="0"/>
      <w:adjustRightInd w:val="0"/>
      <w:jc w:val="both"/>
      <w:outlineLvl w:val="4"/>
    </w:pPr>
    <w:rPr>
      <w:i/>
      <w:i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  <w:lang w:val="en-US"/>
    </w:rPr>
  </w:style>
  <w:style w:type="character" w:styleId="Hyperlink">
    <w:name w:val="Hyperlink"/>
    <w:semiHidden/>
    <w:rPr>
      <w:color w:val="666666"/>
      <w:u w:val="single"/>
    </w:rPr>
  </w:style>
  <w:style w:type="paragraph" w:styleId="BodyText">
    <w:name w:val="Body Text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5E40"/>
    <w:rPr>
      <w:rFonts w:ascii="Segoe UI" w:hAnsi="Segoe UI" w:cs="Segoe UI"/>
      <w:sz w:val="18"/>
      <w:szCs w:val="18"/>
      <w:lang w:val="en-GB"/>
    </w:rPr>
  </w:style>
  <w:style w:type="character" w:customStyle="1" w:styleId="Heading3Char">
    <w:name w:val="Heading 3 Char"/>
    <w:link w:val="Heading3"/>
    <w:rsid w:val="00EE21A9"/>
    <w:rPr>
      <w:sz w:val="24"/>
      <w:szCs w:val="24"/>
    </w:rPr>
  </w:style>
  <w:style w:type="character" w:customStyle="1" w:styleId="Heading5Char">
    <w:name w:val="Heading 5 Char"/>
    <w:link w:val="Heading5"/>
    <w:rsid w:val="00EE21A9"/>
    <w:rPr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and Children’s Services of Guelph and Wellington County is searching for a MANAGER, HUMAN RESOURCES to join our agency</vt:lpstr>
    </vt:vector>
  </TitlesOfParts>
  <Company>Family &amp; Childrens Services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Children’s Services of Guelph and Wellington County is searching for a MANAGER, HUMAN RESOURCES to join our agency</dc:title>
  <dc:subject/>
  <dc:creator>A satisfied Microsoft Office User</dc:creator>
  <cp:keywords/>
  <dc:description/>
  <cp:lastModifiedBy>Laurie Thyssen</cp:lastModifiedBy>
  <cp:revision>3</cp:revision>
  <cp:lastPrinted>2017-11-28T16:03:00Z</cp:lastPrinted>
  <dcterms:created xsi:type="dcterms:W3CDTF">2017-11-28T16:01:00Z</dcterms:created>
  <dcterms:modified xsi:type="dcterms:W3CDTF">2017-11-28T16:03:00Z</dcterms:modified>
</cp:coreProperties>
</file>